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7357" w14:textId="35DE8B44" w:rsidR="008141CA" w:rsidRPr="00092940" w:rsidRDefault="008141CA" w:rsidP="008141CA">
      <w:pPr>
        <w:pStyle w:val="Header"/>
        <w:rPr>
          <w:b/>
          <w:sz w:val="22"/>
          <w:szCs w:val="22"/>
        </w:rPr>
      </w:pPr>
      <w:r w:rsidRPr="00092940">
        <w:rPr>
          <w:b/>
          <w:sz w:val="22"/>
          <w:szCs w:val="22"/>
        </w:rPr>
        <w:t xml:space="preserve">Resolution: </w:t>
      </w:r>
      <w:r w:rsidR="00B87EC8">
        <w:rPr>
          <w:b/>
          <w:sz w:val="22"/>
          <w:szCs w:val="22"/>
        </w:rPr>
        <w:t>The</w:t>
      </w:r>
      <w:r w:rsidR="004F299B">
        <w:rPr>
          <w:b/>
          <w:sz w:val="22"/>
          <w:szCs w:val="22"/>
        </w:rPr>
        <w:t xml:space="preserve"> role of not-for-credit education</w:t>
      </w:r>
    </w:p>
    <w:p w14:paraId="6539AF3D" w14:textId="77777777" w:rsidR="008141CA" w:rsidRPr="00092940" w:rsidRDefault="008141CA" w:rsidP="008141CA">
      <w:pPr>
        <w:pStyle w:val="Header"/>
        <w:rPr>
          <w:sz w:val="22"/>
          <w:szCs w:val="22"/>
        </w:rPr>
      </w:pPr>
    </w:p>
    <w:p w14:paraId="03521485" w14:textId="58C289FE" w:rsidR="00F90F55" w:rsidRDefault="00F90F55" w:rsidP="00B05E41">
      <w:pPr>
        <w:rPr>
          <w:sz w:val="22"/>
          <w:szCs w:val="22"/>
        </w:rPr>
      </w:pPr>
      <w:r>
        <w:rPr>
          <w:sz w:val="22"/>
          <w:szCs w:val="22"/>
        </w:rPr>
        <w:t>WHEREAS, Education Code section 78300 authorizes colleges to offer fee-supported, not-for-credit community service classes;</w:t>
      </w:r>
      <w:r w:rsidR="002118EF">
        <w:rPr>
          <w:sz w:val="22"/>
          <w:szCs w:val="22"/>
        </w:rPr>
        <w:t xml:space="preserve"> and</w:t>
      </w:r>
    </w:p>
    <w:p w14:paraId="6DFEEFF8" w14:textId="77777777" w:rsidR="00F90F55" w:rsidRDefault="00F90F55" w:rsidP="00B05E41">
      <w:pPr>
        <w:rPr>
          <w:sz w:val="22"/>
          <w:szCs w:val="22"/>
        </w:rPr>
      </w:pPr>
    </w:p>
    <w:p w14:paraId="599A0362" w14:textId="3A34B016" w:rsidR="00B05E41" w:rsidRDefault="00B05E41">
      <w:pPr>
        <w:rPr>
          <w:sz w:val="22"/>
          <w:szCs w:val="22"/>
        </w:rPr>
      </w:pPr>
      <w:r w:rsidRPr="00092940">
        <w:rPr>
          <w:sz w:val="22"/>
          <w:szCs w:val="22"/>
        </w:rPr>
        <w:t xml:space="preserve">WHEREAS, Board Policy 6.90 states </w:t>
      </w:r>
      <w:r w:rsidR="00F90F55">
        <w:rPr>
          <w:sz w:val="22"/>
          <w:szCs w:val="22"/>
        </w:rPr>
        <w:t>authorizes</w:t>
      </w:r>
      <w:r w:rsidR="004F299B">
        <w:rPr>
          <w:sz w:val="22"/>
          <w:szCs w:val="22"/>
        </w:rPr>
        <w:t xml:space="preserve"> the San Mateo County Community College District to offer not-for-credit community e</w:t>
      </w:r>
      <w:r w:rsidRPr="00092940">
        <w:rPr>
          <w:sz w:val="22"/>
          <w:szCs w:val="22"/>
        </w:rPr>
        <w:t>ducation classes “in subject matter areas that, in content or depth of treatment, are not appropriate for college credit” and “should avoid unnecessary duplication” of credit-bearing courses and programs;</w:t>
      </w:r>
      <w:r w:rsidR="002118EF">
        <w:rPr>
          <w:sz w:val="22"/>
          <w:szCs w:val="22"/>
        </w:rPr>
        <w:t xml:space="preserve"> and</w:t>
      </w:r>
    </w:p>
    <w:p w14:paraId="2FEF8071" w14:textId="77777777" w:rsidR="00F90F55" w:rsidRPr="00092940" w:rsidRDefault="00F90F55">
      <w:pPr>
        <w:rPr>
          <w:sz w:val="22"/>
          <w:szCs w:val="22"/>
        </w:rPr>
      </w:pPr>
    </w:p>
    <w:p w14:paraId="1228E46A" w14:textId="12541B87" w:rsidR="004F299B" w:rsidRDefault="008141CA">
      <w:pPr>
        <w:rPr>
          <w:sz w:val="22"/>
          <w:szCs w:val="22"/>
        </w:rPr>
      </w:pPr>
      <w:r w:rsidRPr="00092940">
        <w:rPr>
          <w:sz w:val="22"/>
          <w:szCs w:val="22"/>
        </w:rPr>
        <w:t>WHEREAS, the California Community College Chancellor’s Office (CCCCO)</w:t>
      </w:r>
      <w:r w:rsidR="00F90F55">
        <w:rPr>
          <w:sz w:val="22"/>
          <w:szCs w:val="22"/>
        </w:rPr>
        <w:t xml:space="preserve">, in its 2012 </w:t>
      </w:r>
      <w:r w:rsidR="00F90F55" w:rsidRPr="00F90F55">
        <w:rPr>
          <w:i/>
          <w:sz w:val="22"/>
          <w:szCs w:val="22"/>
        </w:rPr>
        <w:t>California Community Colleges Guidelines for Community Services Offering</w:t>
      </w:r>
      <w:r w:rsidR="00F90F55">
        <w:rPr>
          <w:sz w:val="22"/>
          <w:szCs w:val="22"/>
        </w:rPr>
        <w:t>,</w:t>
      </w:r>
      <w:r w:rsidRPr="00092940">
        <w:rPr>
          <w:sz w:val="22"/>
          <w:szCs w:val="22"/>
        </w:rPr>
        <w:t xml:space="preserve"> recommends that</w:t>
      </w:r>
      <w:r w:rsidR="00D012D6">
        <w:rPr>
          <w:sz w:val="22"/>
          <w:szCs w:val="22"/>
        </w:rPr>
        <w:t xml:space="preserve"> appropriate functions of </w:t>
      </w:r>
      <w:r w:rsidRPr="00092940">
        <w:rPr>
          <w:sz w:val="22"/>
          <w:szCs w:val="22"/>
        </w:rPr>
        <w:t xml:space="preserve">not-for-credit </w:t>
      </w:r>
      <w:r w:rsidR="00F90F55">
        <w:rPr>
          <w:sz w:val="22"/>
          <w:szCs w:val="22"/>
        </w:rPr>
        <w:t>courses</w:t>
      </w:r>
      <w:r w:rsidRPr="00092940">
        <w:rPr>
          <w:sz w:val="22"/>
          <w:szCs w:val="22"/>
        </w:rPr>
        <w:t xml:space="preserve"> </w:t>
      </w:r>
      <w:r w:rsidR="00F90F55">
        <w:rPr>
          <w:sz w:val="22"/>
          <w:szCs w:val="22"/>
        </w:rPr>
        <w:t>include, but are not limited to,</w:t>
      </w:r>
      <w:r w:rsidR="00D012D6">
        <w:rPr>
          <w:sz w:val="22"/>
          <w:szCs w:val="22"/>
        </w:rPr>
        <w:t xml:space="preserve"> offering</w:t>
      </w:r>
      <w:r w:rsidR="00A7161F" w:rsidRPr="00092940">
        <w:rPr>
          <w:sz w:val="22"/>
          <w:szCs w:val="22"/>
        </w:rPr>
        <w:t xml:space="preserve"> </w:t>
      </w:r>
      <w:r w:rsidR="00D012D6">
        <w:rPr>
          <w:sz w:val="22"/>
          <w:szCs w:val="22"/>
        </w:rPr>
        <w:t xml:space="preserve">introductory courses that feed into credit-bearing college courses and programs, serving as </w:t>
      </w:r>
      <w:r w:rsidR="00F90F55">
        <w:rPr>
          <w:sz w:val="22"/>
          <w:szCs w:val="22"/>
        </w:rPr>
        <w:t xml:space="preserve">test markets or </w:t>
      </w:r>
      <w:r w:rsidR="00A7161F" w:rsidRPr="00092940">
        <w:rPr>
          <w:sz w:val="22"/>
          <w:szCs w:val="22"/>
        </w:rPr>
        <w:t xml:space="preserve">incubators for new </w:t>
      </w:r>
      <w:r w:rsidR="00D012D6">
        <w:rPr>
          <w:sz w:val="22"/>
          <w:szCs w:val="22"/>
        </w:rPr>
        <w:t xml:space="preserve">courses and </w:t>
      </w:r>
      <w:r w:rsidR="00A7161F" w:rsidRPr="00092940">
        <w:rPr>
          <w:sz w:val="22"/>
          <w:szCs w:val="22"/>
        </w:rPr>
        <w:t xml:space="preserve">programs that </w:t>
      </w:r>
      <w:r w:rsidR="00D012D6">
        <w:rPr>
          <w:sz w:val="22"/>
          <w:szCs w:val="22"/>
        </w:rPr>
        <w:t>may</w:t>
      </w:r>
      <w:r w:rsidR="00A7161F" w:rsidRPr="00092940">
        <w:rPr>
          <w:sz w:val="22"/>
          <w:szCs w:val="22"/>
        </w:rPr>
        <w:t xml:space="preserve"> eventually</w:t>
      </w:r>
      <w:r w:rsidR="004F299B">
        <w:rPr>
          <w:sz w:val="22"/>
          <w:szCs w:val="22"/>
        </w:rPr>
        <w:t xml:space="preserve"> </w:t>
      </w:r>
      <w:r w:rsidR="00D012D6">
        <w:rPr>
          <w:sz w:val="22"/>
          <w:szCs w:val="22"/>
        </w:rPr>
        <w:t xml:space="preserve">be converted to credit-bearing, </w:t>
      </w:r>
      <w:r w:rsidR="00C91C64">
        <w:rPr>
          <w:sz w:val="22"/>
          <w:szCs w:val="22"/>
        </w:rPr>
        <w:t xml:space="preserve">and </w:t>
      </w:r>
      <w:r w:rsidR="00F90F55">
        <w:rPr>
          <w:sz w:val="22"/>
          <w:szCs w:val="22"/>
        </w:rPr>
        <w:t xml:space="preserve">transitioning inactivated credit courses, those that </w:t>
      </w:r>
      <w:r w:rsidR="00D012D6">
        <w:rPr>
          <w:sz w:val="22"/>
          <w:szCs w:val="22"/>
        </w:rPr>
        <w:t>are not financially feasible</w:t>
      </w:r>
      <w:r w:rsidR="00F90F55">
        <w:rPr>
          <w:sz w:val="22"/>
          <w:szCs w:val="22"/>
        </w:rPr>
        <w:t>,</w:t>
      </w:r>
      <w:r w:rsidR="00D012D6">
        <w:rPr>
          <w:sz w:val="22"/>
          <w:szCs w:val="22"/>
        </w:rPr>
        <w:t xml:space="preserve"> or </w:t>
      </w:r>
      <w:r w:rsidR="00F90F55">
        <w:rPr>
          <w:sz w:val="22"/>
          <w:szCs w:val="22"/>
        </w:rPr>
        <w:t xml:space="preserve">those </w:t>
      </w:r>
      <w:r w:rsidR="00D012D6">
        <w:rPr>
          <w:sz w:val="22"/>
          <w:szCs w:val="22"/>
        </w:rPr>
        <w:t>that cannot overcome repeatability limitations</w:t>
      </w:r>
      <w:r w:rsidR="00F90F55">
        <w:rPr>
          <w:sz w:val="22"/>
          <w:szCs w:val="22"/>
        </w:rPr>
        <w:t xml:space="preserve"> to a not-for-credit offering</w:t>
      </w:r>
      <w:r w:rsidR="00D012D6">
        <w:rPr>
          <w:sz w:val="22"/>
          <w:szCs w:val="22"/>
        </w:rPr>
        <w:t xml:space="preserve">; </w:t>
      </w:r>
      <w:r w:rsidR="002118EF">
        <w:rPr>
          <w:sz w:val="22"/>
          <w:szCs w:val="22"/>
        </w:rPr>
        <w:t>and</w:t>
      </w:r>
    </w:p>
    <w:p w14:paraId="558C8695" w14:textId="77777777" w:rsidR="004F299B" w:rsidRDefault="004F299B">
      <w:pPr>
        <w:rPr>
          <w:sz w:val="22"/>
          <w:szCs w:val="22"/>
        </w:rPr>
      </w:pPr>
    </w:p>
    <w:p w14:paraId="1158E481" w14:textId="3FB0D439" w:rsidR="00C91C64" w:rsidRDefault="004F299B">
      <w:pPr>
        <w:rPr>
          <w:sz w:val="22"/>
          <w:szCs w:val="22"/>
        </w:rPr>
      </w:pPr>
      <w:r>
        <w:rPr>
          <w:sz w:val="22"/>
          <w:szCs w:val="22"/>
        </w:rPr>
        <w:t xml:space="preserve">WHEREAS, </w:t>
      </w:r>
      <w:r w:rsidR="00C91C64">
        <w:rPr>
          <w:sz w:val="22"/>
          <w:szCs w:val="22"/>
        </w:rPr>
        <w:t>Education Code</w:t>
      </w:r>
      <w:r>
        <w:rPr>
          <w:sz w:val="22"/>
          <w:szCs w:val="22"/>
        </w:rPr>
        <w:t xml:space="preserve"> </w:t>
      </w:r>
      <w:r w:rsidR="0077576D">
        <w:rPr>
          <w:sz w:val="22"/>
          <w:szCs w:val="22"/>
        </w:rPr>
        <w:t>authorizes</w:t>
      </w:r>
      <w:r>
        <w:rPr>
          <w:sz w:val="22"/>
          <w:szCs w:val="22"/>
        </w:rPr>
        <w:t xml:space="preserve"> colleges </w:t>
      </w:r>
      <w:r w:rsidR="0077576D">
        <w:rPr>
          <w:sz w:val="22"/>
          <w:szCs w:val="22"/>
        </w:rPr>
        <w:t>to</w:t>
      </w:r>
      <w:r>
        <w:rPr>
          <w:sz w:val="22"/>
          <w:szCs w:val="22"/>
        </w:rPr>
        <w:t xml:space="preserve"> offer </w:t>
      </w:r>
      <w:r w:rsidR="00C91C64">
        <w:rPr>
          <w:sz w:val="22"/>
          <w:szCs w:val="22"/>
        </w:rPr>
        <w:t xml:space="preserve">“selected topics courses” (also known as experimental courses) for which </w:t>
      </w:r>
      <w:r w:rsidR="00C91C64">
        <w:rPr>
          <w:rFonts w:ascii="Calibri" w:hAnsi="Calibri"/>
          <w:sz w:val="22"/>
          <w:szCs w:val="22"/>
        </w:rPr>
        <w:t xml:space="preserve">full information on some approval criterion, such as feasibility or need, cannot be determined until the course is offered on a pilot basis, </w:t>
      </w:r>
      <w:r w:rsidR="00C37B72">
        <w:rPr>
          <w:rFonts w:ascii="Calibri" w:hAnsi="Calibri"/>
          <w:sz w:val="22"/>
          <w:szCs w:val="22"/>
        </w:rPr>
        <w:t xml:space="preserve">but </w:t>
      </w:r>
      <w:r w:rsidR="00C91C64">
        <w:rPr>
          <w:rFonts w:ascii="Calibri" w:hAnsi="Calibri"/>
          <w:sz w:val="22"/>
          <w:szCs w:val="22"/>
        </w:rPr>
        <w:t xml:space="preserve">such courses are limited to one successful offering before they </w:t>
      </w:r>
      <w:r w:rsidR="00C37B72">
        <w:rPr>
          <w:rFonts w:ascii="Calibri" w:hAnsi="Calibri"/>
          <w:sz w:val="22"/>
          <w:szCs w:val="22"/>
        </w:rPr>
        <w:t>must</w:t>
      </w:r>
      <w:r w:rsidR="00C91C64">
        <w:rPr>
          <w:rFonts w:ascii="Calibri" w:hAnsi="Calibri"/>
          <w:sz w:val="22"/>
          <w:szCs w:val="22"/>
        </w:rPr>
        <w:t xml:space="preserve"> be converted into a permanent credit-bearing course</w:t>
      </w:r>
      <w:r w:rsidR="00C37B72">
        <w:rPr>
          <w:rFonts w:ascii="Calibri" w:hAnsi="Calibri"/>
          <w:sz w:val="22"/>
          <w:szCs w:val="22"/>
        </w:rPr>
        <w:t>;</w:t>
      </w:r>
      <w:r w:rsidR="002118EF">
        <w:rPr>
          <w:rFonts w:ascii="Calibri" w:hAnsi="Calibri"/>
          <w:sz w:val="22"/>
          <w:szCs w:val="22"/>
        </w:rPr>
        <w:t xml:space="preserve"> and</w:t>
      </w:r>
    </w:p>
    <w:p w14:paraId="4149F869" w14:textId="77777777" w:rsidR="004F299B" w:rsidRDefault="004F299B">
      <w:pPr>
        <w:rPr>
          <w:sz w:val="22"/>
          <w:szCs w:val="22"/>
        </w:rPr>
      </w:pPr>
    </w:p>
    <w:p w14:paraId="54E81CEB" w14:textId="7DCA61CD" w:rsidR="008141CA" w:rsidRPr="00092940" w:rsidRDefault="004F299B">
      <w:pPr>
        <w:rPr>
          <w:sz w:val="22"/>
          <w:szCs w:val="22"/>
        </w:rPr>
      </w:pPr>
      <w:r>
        <w:rPr>
          <w:sz w:val="22"/>
          <w:szCs w:val="22"/>
        </w:rPr>
        <w:t xml:space="preserve">WHEREAS, the </w:t>
      </w:r>
      <w:r w:rsidRPr="00092940">
        <w:rPr>
          <w:sz w:val="22"/>
          <w:szCs w:val="22"/>
        </w:rPr>
        <w:t xml:space="preserve">California Community College Chancellor’s Office (CCCCO) recommends that not-for-credit </w:t>
      </w:r>
      <w:r w:rsidR="00C91C64">
        <w:rPr>
          <w:sz w:val="22"/>
          <w:szCs w:val="22"/>
        </w:rPr>
        <w:t>offerings</w:t>
      </w:r>
      <w:r w:rsidRPr="00092940">
        <w:rPr>
          <w:sz w:val="22"/>
          <w:szCs w:val="22"/>
        </w:rPr>
        <w:t xml:space="preserve"> </w:t>
      </w:r>
      <w:r w:rsidR="00A7161F" w:rsidRPr="00092940">
        <w:rPr>
          <w:sz w:val="22"/>
          <w:szCs w:val="22"/>
        </w:rPr>
        <w:t xml:space="preserve">should only be comparable to a credit-bearing </w:t>
      </w:r>
      <w:r>
        <w:rPr>
          <w:sz w:val="22"/>
          <w:szCs w:val="22"/>
        </w:rPr>
        <w:t>course</w:t>
      </w:r>
      <w:r w:rsidR="00C91C64">
        <w:rPr>
          <w:sz w:val="22"/>
          <w:szCs w:val="22"/>
        </w:rPr>
        <w:t xml:space="preserve">s </w:t>
      </w:r>
      <w:r w:rsidR="00A7161F" w:rsidRPr="00092940">
        <w:rPr>
          <w:sz w:val="22"/>
          <w:szCs w:val="22"/>
        </w:rPr>
        <w:t>if the local college deter</w:t>
      </w:r>
      <w:r w:rsidR="008E70DB" w:rsidRPr="00092940">
        <w:rPr>
          <w:sz w:val="22"/>
          <w:szCs w:val="22"/>
        </w:rPr>
        <w:t xml:space="preserve">mines that </w:t>
      </w:r>
      <w:r w:rsidR="00C91C64">
        <w:rPr>
          <w:sz w:val="22"/>
          <w:szCs w:val="22"/>
        </w:rPr>
        <w:t xml:space="preserve">the </w:t>
      </w:r>
      <w:r w:rsidR="004F68D8">
        <w:rPr>
          <w:sz w:val="22"/>
          <w:szCs w:val="22"/>
        </w:rPr>
        <w:t xml:space="preserve">not-for-credit </w:t>
      </w:r>
      <w:r w:rsidR="00C91C64">
        <w:rPr>
          <w:sz w:val="22"/>
          <w:szCs w:val="22"/>
        </w:rPr>
        <w:t>course offering</w:t>
      </w:r>
      <w:r w:rsidR="00A7161F" w:rsidRPr="00092940">
        <w:rPr>
          <w:sz w:val="22"/>
          <w:szCs w:val="22"/>
        </w:rPr>
        <w:t xml:space="preserve"> reaches “different community members </w:t>
      </w:r>
      <w:r w:rsidR="00A7161F" w:rsidRPr="00922594">
        <w:rPr>
          <w:sz w:val="22"/>
          <w:szCs w:val="22"/>
        </w:rPr>
        <w:t>who have different goals</w:t>
      </w:r>
      <w:r w:rsidR="00A7161F" w:rsidRPr="00092940">
        <w:rPr>
          <w:sz w:val="22"/>
          <w:szCs w:val="22"/>
        </w:rPr>
        <w:t>”;</w:t>
      </w:r>
      <w:r w:rsidR="002118EF">
        <w:rPr>
          <w:sz w:val="22"/>
          <w:szCs w:val="22"/>
        </w:rPr>
        <w:t xml:space="preserve"> and</w:t>
      </w:r>
    </w:p>
    <w:p w14:paraId="67AA56E9" w14:textId="77777777" w:rsidR="008E70DB" w:rsidRPr="00092940" w:rsidRDefault="008E70DB">
      <w:pPr>
        <w:rPr>
          <w:sz w:val="22"/>
          <w:szCs w:val="22"/>
        </w:rPr>
      </w:pPr>
    </w:p>
    <w:p w14:paraId="43141334" w14:textId="72E555ED" w:rsidR="00B05E41" w:rsidRPr="00092940" w:rsidRDefault="00B05E41">
      <w:pPr>
        <w:rPr>
          <w:sz w:val="22"/>
          <w:szCs w:val="22"/>
        </w:rPr>
      </w:pPr>
      <w:r w:rsidRPr="00092940">
        <w:rPr>
          <w:sz w:val="22"/>
          <w:szCs w:val="22"/>
        </w:rPr>
        <w:t xml:space="preserve">RESOLVED, that the Academic Senate </w:t>
      </w:r>
      <w:r w:rsidR="004F68D8">
        <w:rPr>
          <w:sz w:val="22"/>
          <w:szCs w:val="22"/>
        </w:rPr>
        <w:t>supports</w:t>
      </w:r>
      <w:r w:rsidR="004F299B">
        <w:rPr>
          <w:sz w:val="22"/>
          <w:szCs w:val="22"/>
        </w:rPr>
        <w:t xml:space="preserve"> faculty </w:t>
      </w:r>
      <w:r w:rsidR="004F68D8">
        <w:rPr>
          <w:sz w:val="22"/>
          <w:szCs w:val="22"/>
        </w:rPr>
        <w:t xml:space="preserve">who choose </w:t>
      </w:r>
      <w:r w:rsidR="004F299B">
        <w:rPr>
          <w:sz w:val="22"/>
          <w:szCs w:val="22"/>
        </w:rPr>
        <w:t>to work with CCCE to create pathways that lead students from not-for-credit</w:t>
      </w:r>
      <w:r w:rsidR="00AF581B">
        <w:rPr>
          <w:sz w:val="22"/>
          <w:szCs w:val="22"/>
        </w:rPr>
        <w:t xml:space="preserve"> offerings</w:t>
      </w:r>
      <w:r w:rsidR="004F299B">
        <w:rPr>
          <w:sz w:val="22"/>
          <w:szCs w:val="22"/>
        </w:rPr>
        <w:t xml:space="preserve"> to credit-bearing courses and programs; </w:t>
      </w:r>
      <w:r w:rsidR="008E70DB" w:rsidRPr="00092940">
        <w:rPr>
          <w:sz w:val="22"/>
          <w:szCs w:val="22"/>
        </w:rPr>
        <w:t>and</w:t>
      </w:r>
    </w:p>
    <w:p w14:paraId="74319159" w14:textId="77777777" w:rsidR="00B05E41" w:rsidRDefault="00B05E41">
      <w:pPr>
        <w:rPr>
          <w:sz w:val="22"/>
          <w:szCs w:val="22"/>
        </w:rPr>
      </w:pPr>
    </w:p>
    <w:p w14:paraId="587EED16" w14:textId="348D76DE" w:rsidR="00AF581B" w:rsidRPr="00092940" w:rsidRDefault="00AF581B" w:rsidP="00AF581B">
      <w:pPr>
        <w:rPr>
          <w:sz w:val="22"/>
          <w:szCs w:val="22"/>
        </w:rPr>
      </w:pPr>
      <w:r w:rsidRPr="00092940">
        <w:rPr>
          <w:sz w:val="22"/>
          <w:szCs w:val="22"/>
        </w:rPr>
        <w:t xml:space="preserve">RESOLVED, that the Academic Senate </w:t>
      </w:r>
      <w:r w:rsidR="004F68D8">
        <w:rPr>
          <w:sz w:val="22"/>
          <w:szCs w:val="22"/>
        </w:rPr>
        <w:t>supports</w:t>
      </w:r>
      <w:r w:rsidR="00360486" w:rsidRPr="00AE7DB5">
        <w:rPr>
          <w:sz w:val="22"/>
          <w:szCs w:val="22"/>
        </w:rPr>
        <w:t xml:space="preserve"> faculty who choose to transition</w:t>
      </w:r>
      <w:r w:rsidR="00360486">
        <w:rPr>
          <w:sz w:val="22"/>
          <w:szCs w:val="22"/>
        </w:rPr>
        <w:t xml:space="preserve"> </w:t>
      </w:r>
      <w:r>
        <w:rPr>
          <w:sz w:val="22"/>
          <w:szCs w:val="22"/>
        </w:rPr>
        <w:t>inactivated courses, those that are no longer budget priorities, and those whose limitations preclude them from being offered by the college for credit</w:t>
      </w:r>
      <w:r w:rsidR="004F68D8">
        <w:rPr>
          <w:sz w:val="22"/>
          <w:szCs w:val="22"/>
        </w:rPr>
        <w:t>, to CCCCE for offering as not-for-credit</w:t>
      </w:r>
      <w:r>
        <w:rPr>
          <w:sz w:val="22"/>
          <w:szCs w:val="22"/>
        </w:rPr>
        <w:t xml:space="preserve">; </w:t>
      </w:r>
      <w:r w:rsidRPr="00092940">
        <w:rPr>
          <w:sz w:val="22"/>
          <w:szCs w:val="22"/>
        </w:rPr>
        <w:t>and</w:t>
      </w:r>
    </w:p>
    <w:p w14:paraId="03AE805C" w14:textId="77777777" w:rsidR="00AF581B" w:rsidRPr="00092940" w:rsidRDefault="00AF581B">
      <w:pPr>
        <w:rPr>
          <w:sz w:val="22"/>
          <w:szCs w:val="22"/>
        </w:rPr>
      </w:pPr>
    </w:p>
    <w:p w14:paraId="429D44F6" w14:textId="28D3E022" w:rsidR="00A7161F" w:rsidRDefault="00A7161F">
      <w:pPr>
        <w:rPr>
          <w:sz w:val="22"/>
          <w:szCs w:val="22"/>
        </w:rPr>
      </w:pPr>
      <w:r w:rsidRPr="00092940">
        <w:rPr>
          <w:sz w:val="22"/>
          <w:szCs w:val="22"/>
        </w:rPr>
        <w:t xml:space="preserve">RESOLVED, that the Academic Senate </w:t>
      </w:r>
      <w:r w:rsidR="004F68D8">
        <w:rPr>
          <w:sz w:val="22"/>
          <w:szCs w:val="22"/>
        </w:rPr>
        <w:t>supports</w:t>
      </w:r>
      <w:r w:rsidR="004F299B">
        <w:rPr>
          <w:sz w:val="22"/>
          <w:szCs w:val="22"/>
        </w:rPr>
        <w:t xml:space="preserve"> </w:t>
      </w:r>
      <w:r w:rsidR="004F68D8">
        <w:rPr>
          <w:sz w:val="22"/>
          <w:szCs w:val="22"/>
        </w:rPr>
        <w:t>the use of not-for-credit course offerings for piloting courses as an appropriate alternative to the limitations of “special topics” (also known as experimental) courses</w:t>
      </w:r>
      <w:r w:rsidR="00C37B72">
        <w:rPr>
          <w:sz w:val="22"/>
          <w:szCs w:val="22"/>
        </w:rPr>
        <w:t xml:space="preserve">; and </w:t>
      </w:r>
    </w:p>
    <w:p w14:paraId="6180E4BC" w14:textId="77777777" w:rsidR="00C37B72" w:rsidRDefault="00C37B72">
      <w:pPr>
        <w:rPr>
          <w:sz w:val="22"/>
          <w:szCs w:val="22"/>
        </w:rPr>
      </w:pPr>
    </w:p>
    <w:p w14:paraId="634A380A" w14:textId="4470364C" w:rsidR="00C37B72" w:rsidRDefault="00C37B72">
      <w:pPr>
        <w:rPr>
          <w:sz w:val="22"/>
          <w:szCs w:val="22"/>
        </w:rPr>
      </w:pPr>
      <w:r>
        <w:rPr>
          <w:sz w:val="22"/>
          <w:szCs w:val="22"/>
        </w:rPr>
        <w:t xml:space="preserve">RESOLVED, that the Academic Senate urges faculty to engage in consultation with college administration and CCCE to ensure that not-for-credit course offerings differ </w:t>
      </w:r>
      <w:r w:rsidR="00360486" w:rsidRPr="00AE7DB5">
        <w:rPr>
          <w:sz w:val="22"/>
          <w:szCs w:val="22"/>
        </w:rPr>
        <w:t>significantly</w:t>
      </w:r>
      <w:r w:rsidR="00360486">
        <w:rPr>
          <w:sz w:val="22"/>
          <w:szCs w:val="22"/>
        </w:rPr>
        <w:t xml:space="preserve"> </w:t>
      </w:r>
      <w:r>
        <w:rPr>
          <w:sz w:val="22"/>
          <w:szCs w:val="22"/>
        </w:rPr>
        <w:t>from credit courses in content or depth of treatment, and/or reaches community members with different goals than those of students who taking comparable credit courses.</w:t>
      </w:r>
    </w:p>
    <w:p w14:paraId="0069C7B2" w14:textId="77777777" w:rsidR="001A4A38" w:rsidRDefault="001A4A38">
      <w:pPr>
        <w:rPr>
          <w:sz w:val="22"/>
          <w:szCs w:val="22"/>
        </w:rPr>
      </w:pPr>
    </w:p>
    <w:p w14:paraId="539868EE" w14:textId="77777777" w:rsidR="001A4A38" w:rsidRDefault="001A4A38">
      <w:pPr>
        <w:rPr>
          <w:sz w:val="20"/>
          <w:szCs w:val="20"/>
        </w:rPr>
      </w:pPr>
    </w:p>
    <w:p w14:paraId="751EB4BA" w14:textId="76538087" w:rsidR="001A4A38" w:rsidRPr="001A4A38" w:rsidRDefault="001A4A38">
      <w:pPr>
        <w:rPr>
          <w:sz w:val="20"/>
          <w:szCs w:val="20"/>
        </w:rPr>
      </w:pPr>
      <w:bookmarkStart w:id="0" w:name="_GoBack"/>
      <w:bookmarkEnd w:id="0"/>
      <w:r w:rsidRPr="001A4A38">
        <w:rPr>
          <w:sz w:val="20"/>
          <w:szCs w:val="20"/>
        </w:rPr>
        <w:t>Reference Materials:</w:t>
      </w:r>
    </w:p>
    <w:p w14:paraId="36084533" w14:textId="43A60847" w:rsidR="001A4A38" w:rsidRPr="001A4A38" w:rsidRDefault="001A4A38">
      <w:pPr>
        <w:rPr>
          <w:sz w:val="20"/>
          <w:szCs w:val="20"/>
        </w:rPr>
      </w:pPr>
      <w:r w:rsidRPr="001A4A38">
        <w:rPr>
          <w:sz w:val="20"/>
          <w:szCs w:val="20"/>
        </w:rPr>
        <w:t xml:space="preserve">California Community Colleges Guidelines for Community Services Offering </w:t>
      </w:r>
      <w:hyperlink r:id="rId7" w:history="1">
        <w:r w:rsidRPr="001A4A38">
          <w:rPr>
            <w:rStyle w:val="Hyperlink"/>
            <w:sz w:val="20"/>
            <w:szCs w:val="20"/>
          </w:rPr>
          <w:t>http://extranet.cccco.edu/Portals/1/AA/Miscellaneous/CommunitySvcsOfferingGuidelinesFinal10.24.12.pdf</w:t>
        </w:r>
      </w:hyperlink>
    </w:p>
    <w:sectPr w:rsidR="001A4A38" w:rsidRPr="001A4A38" w:rsidSect="00DE55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023E2" w14:textId="77777777" w:rsidR="00C33506" w:rsidRDefault="00C33506" w:rsidP="008141CA">
      <w:r>
        <w:separator/>
      </w:r>
    </w:p>
  </w:endnote>
  <w:endnote w:type="continuationSeparator" w:id="0">
    <w:p w14:paraId="6D2E65A0" w14:textId="77777777" w:rsidR="00C33506" w:rsidRDefault="00C33506" w:rsidP="0081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12844C" w14:textId="77777777" w:rsidR="00AE7DB5" w:rsidRDefault="00AE7D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09B336" w14:textId="0ED26DDD" w:rsidR="00AE7DB5" w:rsidRPr="009857A4" w:rsidRDefault="009857A4">
    <w:pPr>
      <w:pStyle w:val="Footer"/>
      <w:rPr>
        <w:i/>
      </w:rPr>
    </w:pPr>
    <w:r w:rsidRPr="009857A4">
      <w:rPr>
        <w:i/>
      </w:rPr>
      <w:t>Draft 3/20/17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C6403E" w14:textId="77777777" w:rsidR="00AE7DB5" w:rsidRDefault="00AE7D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5A433" w14:textId="77777777" w:rsidR="00C33506" w:rsidRDefault="00C33506" w:rsidP="008141CA">
      <w:r>
        <w:separator/>
      </w:r>
    </w:p>
  </w:footnote>
  <w:footnote w:type="continuationSeparator" w:id="0">
    <w:p w14:paraId="55BE2110" w14:textId="77777777" w:rsidR="00C33506" w:rsidRDefault="00C33506" w:rsidP="008141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20EF16" w14:textId="0DD01669" w:rsidR="00AE7DB5" w:rsidRDefault="00C33506">
    <w:pPr>
      <w:pStyle w:val="Header"/>
    </w:pPr>
    <w:r>
      <w:rPr>
        <w:noProof/>
      </w:rPr>
      <w:pict w14:anchorId="135DBAB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4.9pt;height:164.95pt;rotation:315;z-index:-251655168;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CFF40F" w14:textId="4E24068C" w:rsidR="008141CA" w:rsidRDefault="00C33506">
    <w:pPr>
      <w:pStyle w:val="Header"/>
    </w:pPr>
    <w:r>
      <w:rPr>
        <w:noProof/>
      </w:rPr>
      <w:pict w14:anchorId="29E4EB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9pt;height:164.95pt;rotation:315;z-index:-251657216;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r w:rsidR="008141CA">
      <w:t>Cañada College Academic Senate Resolution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4E425B" w14:textId="1F29297F" w:rsidR="00AE7DB5" w:rsidRDefault="00C33506">
    <w:pPr>
      <w:pStyle w:val="Header"/>
    </w:pPr>
    <w:r>
      <w:rPr>
        <w:noProof/>
      </w:rPr>
      <w:pict w14:anchorId="5BDF436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4.9pt;height:164.95pt;rotation:315;z-index:-251653120;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B1ED5"/>
    <w:multiLevelType w:val="multilevel"/>
    <w:tmpl w:val="2296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CA"/>
    <w:rsid w:val="0000454C"/>
    <w:rsid w:val="00092940"/>
    <w:rsid w:val="000A5897"/>
    <w:rsid w:val="001A4A38"/>
    <w:rsid w:val="001F23DB"/>
    <w:rsid w:val="002118EF"/>
    <w:rsid w:val="002B598D"/>
    <w:rsid w:val="00360486"/>
    <w:rsid w:val="004D57E8"/>
    <w:rsid w:val="004E49D5"/>
    <w:rsid w:val="004F299B"/>
    <w:rsid w:val="004F68D8"/>
    <w:rsid w:val="005649E8"/>
    <w:rsid w:val="0059706B"/>
    <w:rsid w:val="005D2178"/>
    <w:rsid w:val="006F2D79"/>
    <w:rsid w:val="0077576D"/>
    <w:rsid w:val="008141CA"/>
    <w:rsid w:val="008E70DB"/>
    <w:rsid w:val="00922594"/>
    <w:rsid w:val="009857A4"/>
    <w:rsid w:val="00A41AE3"/>
    <w:rsid w:val="00A7161F"/>
    <w:rsid w:val="00AA1DA4"/>
    <w:rsid w:val="00AE7DB5"/>
    <w:rsid w:val="00AF581B"/>
    <w:rsid w:val="00B05E41"/>
    <w:rsid w:val="00B87EC8"/>
    <w:rsid w:val="00B906B6"/>
    <w:rsid w:val="00C33506"/>
    <w:rsid w:val="00C37B72"/>
    <w:rsid w:val="00C91C64"/>
    <w:rsid w:val="00D012D6"/>
    <w:rsid w:val="00DE559F"/>
    <w:rsid w:val="00F9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317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1CA"/>
    <w:pPr>
      <w:tabs>
        <w:tab w:val="center" w:pos="4680"/>
        <w:tab w:val="right" w:pos="9360"/>
      </w:tabs>
    </w:pPr>
  </w:style>
  <w:style w:type="character" w:customStyle="1" w:styleId="HeaderChar">
    <w:name w:val="Header Char"/>
    <w:basedOn w:val="DefaultParagraphFont"/>
    <w:link w:val="Header"/>
    <w:uiPriority w:val="99"/>
    <w:rsid w:val="008141CA"/>
  </w:style>
  <w:style w:type="paragraph" w:styleId="Footer">
    <w:name w:val="footer"/>
    <w:basedOn w:val="Normal"/>
    <w:link w:val="FooterChar"/>
    <w:uiPriority w:val="99"/>
    <w:unhideWhenUsed/>
    <w:rsid w:val="008141CA"/>
    <w:pPr>
      <w:tabs>
        <w:tab w:val="center" w:pos="4680"/>
        <w:tab w:val="right" w:pos="9360"/>
      </w:tabs>
    </w:pPr>
  </w:style>
  <w:style w:type="character" w:customStyle="1" w:styleId="FooterChar">
    <w:name w:val="Footer Char"/>
    <w:basedOn w:val="DefaultParagraphFont"/>
    <w:link w:val="Footer"/>
    <w:uiPriority w:val="99"/>
    <w:rsid w:val="008141CA"/>
  </w:style>
  <w:style w:type="paragraph" w:styleId="NormalWeb">
    <w:name w:val="Normal (Web)"/>
    <w:basedOn w:val="Normal"/>
    <w:uiPriority w:val="99"/>
    <w:semiHidden/>
    <w:unhideWhenUsed/>
    <w:rsid w:val="00C91C6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A4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661398">
      <w:bodyDiv w:val="1"/>
      <w:marLeft w:val="0"/>
      <w:marRight w:val="0"/>
      <w:marTop w:val="0"/>
      <w:marBottom w:val="0"/>
      <w:divBdr>
        <w:top w:val="none" w:sz="0" w:space="0" w:color="auto"/>
        <w:left w:val="none" w:sz="0" w:space="0" w:color="auto"/>
        <w:bottom w:val="none" w:sz="0" w:space="0" w:color="auto"/>
        <w:right w:val="none" w:sz="0" w:space="0" w:color="auto"/>
      </w:divBdr>
      <w:divsChild>
        <w:div w:id="1845899654">
          <w:marLeft w:val="0"/>
          <w:marRight w:val="0"/>
          <w:marTop w:val="0"/>
          <w:marBottom w:val="0"/>
          <w:divBdr>
            <w:top w:val="none" w:sz="0" w:space="0" w:color="auto"/>
            <w:left w:val="none" w:sz="0" w:space="0" w:color="auto"/>
            <w:bottom w:val="none" w:sz="0" w:space="0" w:color="auto"/>
            <w:right w:val="none" w:sz="0" w:space="0" w:color="auto"/>
          </w:divBdr>
          <w:divsChild>
            <w:div w:id="1033385680">
              <w:marLeft w:val="0"/>
              <w:marRight w:val="0"/>
              <w:marTop w:val="0"/>
              <w:marBottom w:val="0"/>
              <w:divBdr>
                <w:top w:val="none" w:sz="0" w:space="0" w:color="auto"/>
                <w:left w:val="none" w:sz="0" w:space="0" w:color="auto"/>
                <w:bottom w:val="none" w:sz="0" w:space="0" w:color="auto"/>
                <w:right w:val="none" w:sz="0" w:space="0" w:color="auto"/>
              </w:divBdr>
              <w:divsChild>
                <w:div w:id="15711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xtranet.cccco.edu/Portals/1/AA/Miscellaneous/CommunitySvcsOfferingGuidelinesFinal10.24.12.pdf"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480</Words>
  <Characters>2739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2017-03-13T08:23:00Z</dcterms:created>
  <dcterms:modified xsi:type="dcterms:W3CDTF">2017-03-20T20:36:00Z</dcterms:modified>
</cp:coreProperties>
</file>